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4D0F" w14:textId="77777777" w:rsidR="0083553D" w:rsidRDefault="00085A94" w:rsidP="0083553D">
      <w:pPr>
        <w:jc w:val="center"/>
        <w:rPr>
          <w:b/>
          <w:caps/>
          <w:sz w:val="28"/>
          <w:szCs w:val="28"/>
          <w:u w:val="single"/>
          <w:lang w:val="cs-CZ"/>
        </w:rPr>
      </w:pPr>
      <w:r w:rsidRPr="00056622">
        <w:rPr>
          <w:b/>
          <w:caps/>
          <w:sz w:val="28"/>
          <w:szCs w:val="28"/>
          <w:u w:val="single"/>
          <w:lang w:val="cs-CZ"/>
        </w:rPr>
        <w:t>Finanční výsledky za rok 2022</w:t>
      </w:r>
    </w:p>
    <w:p w14:paraId="3E1F0562" w14:textId="77777777" w:rsidR="000539EB" w:rsidRDefault="000539EB" w:rsidP="0083553D">
      <w:pPr>
        <w:jc w:val="center"/>
        <w:rPr>
          <w:b/>
          <w:caps/>
          <w:sz w:val="28"/>
          <w:szCs w:val="28"/>
          <w:u w:val="single"/>
          <w:lang w:val="cs-CZ"/>
        </w:rPr>
      </w:pPr>
    </w:p>
    <w:p w14:paraId="71A03CCF" w14:textId="341DEA9E" w:rsidR="000539EB" w:rsidRPr="00F3048F" w:rsidRDefault="00F3048F" w:rsidP="0083553D">
      <w:pPr>
        <w:jc w:val="center"/>
        <w:rPr>
          <w:b/>
          <w:sz w:val="28"/>
          <w:szCs w:val="28"/>
          <w:u w:val="single"/>
          <w:lang w:val="cs-CZ"/>
        </w:rPr>
      </w:pPr>
      <w:r w:rsidRPr="00F3048F">
        <w:rPr>
          <w:b/>
          <w:sz w:val="28"/>
          <w:szCs w:val="28"/>
          <w:u w:val="single"/>
          <w:lang w:val="cs-CZ"/>
        </w:rPr>
        <w:t xml:space="preserve">Z celkového objemu nových nájemců </w:t>
      </w:r>
      <w:r>
        <w:rPr>
          <w:b/>
          <w:sz w:val="28"/>
          <w:szCs w:val="28"/>
          <w:u w:val="single"/>
          <w:lang w:val="cs-CZ"/>
        </w:rPr>
        <w:t>Česká republika</w:t>
      </w:r>
      <w:r w:rsidRPr="00F3048F">
        <w:rPr>
          <w:b/>
          <w:sz w:val="28"/>
          <w:szCs w:val="28"/>
          <w:u w:val="single"/>
          <w:lang w:val="cs-CZ"/>
        </w:rPr>
        <w:t xml:space="preserve"> přispěl</w:t>
      </w:r>
      <w:r>
        <w:rPr>
          <w:b/>
          <w:sz w:val="28"/>
          <w:szCs w:val="28"/>
          <w:u w:val="single"/>
          <w:lang w:val="cs-CZ"/>
        </w:rPr>
        <w:t>a celkem</w:t>
      </w:r>
      <w:r w:rsidRPr="00F3048F">
        <w:rPr>
          <w:b/>
          <w:sz w:val="28"/>
          <w:szCs w:val="28"/>
          <w:u w:val="single"/>
          <w:lang w:val="cs-CZ"/>
        </w:rPr>
        <w:t xml:space="preserve"> </w:t>
      </w:r>
      <w:r>
        <w:rPr>
          <w:b/>
          <w:sz w:val="28"/>
          <w:szCs w:val="28"/>
          <w:u w:val="single"/>
          <w:lang w:val="cs-CZ"/>
        </w:rPr>
        <w:t>4</w:t>
      </w:r>
      <w:r w:rsidRPr="00F3048F">
        <w:rPr>
          <w:b/>
          <w:sz w:val="28"/>
          <w:szCs w:val="28"/>
          <w:u w:val="single"/>
          <w:lang w:val="cs-CZ"/>
        </w:rPr>
        <w:t>,</w:t>
      </w:r>
      <w:r>
        <w:rPr>
          <w:b/>
          <w:sz w:val="28"/>
          <w:szCs w:val="28"/>
          <w:u w:val="single"/>
          <w:lang w:val="cs-CZ"/>
        </w:rPr>
        <w:t>3</w:t>
      </w:r>
      <w:r w:rsidRPr="00F3048F">
        <w:rPr>
          <w:b/>
          <w:sz w:val="28"/>
          <w:szCs w:val="28"/>
          <w:u w:val="single"/>
          <w:lang w:val="cs-CZ"/>
        </w:rPr>
        <w:t xml:space="preserve"> milionu EUR (</w:t>
      </w:r>
      <w:r>
        <w:rPr>
          <w:b/>
          <w:sz w:val="28"/>
          <w:szCs w:val="28"/>
          <w:u w:val="single"/>
          <w:lang w:val="cs-CZ"/>
        </w:rPr>
        <w:t>8</w:t>
      </w:r>
      <w:r w:rsidRPr="00F3048F">
        <w:rPr>
          <w:b/>
          <w:sz w:val="28"/>
          <w:szCs w:val="28"/>
          <w:u w:val="single"/>
          <w:lang w:val="cs-CZ"/>
        </w:rPr>
        <w:t xml:space="preserve"> %)</w:t>
      </w:r>
    </w:p>
    <w:p w14:paraId="052436DB" w14:textId="77777777" w:rsidR="0083553D" w:rsidRPr="00056622" w:rsidRDefault="0083553D" w:rsidP="0083553D">
      <w:pPr>
        <w:jc w:val="center"/>
        <w:rPr>
          <w:b/>
          <w:caps/>
          <w:sz w:val="28"/>
          <w:szCs w:val="28"/>
          <w:u w:val="single"/>
          <w:lang w:val="cs-CZ"/>
        </w:rPr>
      </w:pPr>
    </w:p>
    <w:p w14:paraId="59593384" w14:textId="13705A03" w:rsidR="0083553D" w:rsidRPr="00056622" w:rsidRDefault="0083553D" w:rsidP="0083553D">
      <w:pPr>
        <w:spacing w:after="240"/>
        <w:jc w:val="both"/>
        <w:rPr>
          <w:sz w:val="22"/>
          <w:szCs w:val="22"/>
          <w:lang w:val="cs-CZ"/>
        </w:rPr>
      </w:pPr>
      <w:r w:rsidRPr="00056622">
        <w:rPr>
          <w:b/>
          <w:sz w:val="22"/>
          <w:szCs w:val="22"/>
          <w:lang w:val="cs-CZ"/>
        </w:rPr>
        <w:t>2</w:t>
      </w:r>
      <w:r w:rsidR="000539EB">
        <w:rPr>
          <w:b/>
          <w:sz w:val="22"/>
          <w:szCs w:val="22"/>
          <w:lang w:val="cs-CZ"/>
        </w:rPr>
        <w:t>8</w:t>
      </w:r>
      <w:r w:rsidR="00085A94" w:rsidRPr="00056622">
        <w:rPr>
          <w:b/>
          <w:sz w:val="22"/>
          <w:szCs w:val="22"/>
          <w:lang w:val="cs-CZ"/>
        </w:rPr>
        <w:t xml:space="preserve">. února </w:t>
      </w:r>
      <w:r w:rsidRPr="00056622">
        <w:rPr>
          <w:b/>
          <w:sz w:val="22"/>
          <w:szCs w:val="22"/>
          <w:lang w:val="cs-CZ"/>
        </w:rPr>
        <w:t>2023, 7:00, Ant</w:t>
      </w:r>
      <w:r w:rsidR="00085A94" w:rsidRPr="00056622">
        <w:rPr>
          <w:b/>
          <w:sz w:val="22"/>
          <w:szCs w:val="22"/>
          <w:lang w:val="cs-CZ"/>
        </w:rPr>
        <w:t>v</w:t>
      </w:r>
      <w:r w:rsidRPr="00056622">
        <w:rPr>
          <w:b/>
          <w:sz w:val="22"/>
          <w:szCs w:val="22"/>
          <w:lang w:val="cs-CZ"/>
        </w:rPr>
        <w:t>erp</w:t>
      </w:r>
      <w:r w:rsidR="00085A94" w:rsidRPr="00056622">
        <w:rPr>
          <w:b/>
          <w:sz w:val="22"/>
          <w:szCs w:val="22"/>
          <w:lang w:val="cs-CZ"/>
        </w:rPr>
        <w:t>y</w:t>
      </w:r>
      <w:r w:rsidRPr="00056622">
        <w:rPr>
          <w:b/>
          <w:sz w:val="22"/>
          <w:szCs w:val="22"/>
          <w:lang w:val="cs-CZ"/>
        </w:rPr>
        <w:t>, Belgi</w:t>
      </w:r>
      <w:r w:rsidR="00085A94" w:rsidRPr="00056622">
        <w:rPr>
          <w:b/>
          <w:sz w:val="22"/>
          <w:szCs w:val="22"/>
          <w:lang w:val="cs-CZ"/>
        </w:rPr>
        <w:t>e</w:t>
      </w:r>
      <w:r w:rsidRPr="00056622">
        <w:rPr>
          <w:sz w:val="22"/>
          <w:szCs w:val="22"/>
          <w:lang w:val="cs-CZ"/>
        </w:rPr>
        <w:t xml:space="preserve">: VGP NV (‘VGP’ </w:t>
      </w:r>
      <w:r w:rsidR="00085A94" w:rsidRPr="00056622">
        <w:rPr>
          <w:sz w:val="22"/>
          <w:szCs w:val="22"/>
          <w:lang w:val="cs-CZ"/>
        </w:rPr>
        <w:t>nebo</w:t>
      </w:r>
      <w:r w:rsidRPr="00056622">
        <w:rPr>
          <w:sz w:val="22"/>
          <w:szCs w:val="22"/>
          <w:lang w:val="cs-CZ"/>
        </w:rPr>
        <w:t xml:space="preserve"> ‘</w:t>
      </w:r>
      <w:r w:rsidR="00085A94" w:rsidRPr="00056622">
        <w:rPr>
          <w:sz w:val="22"/>
          <w:szCs w:val="22"/>
          <w:lang w:val="cs-CZ"/>
        </w:rPr>
        <w:t>Skupina</w:t>
      </w:r>
      <w:r w:rsidRPr="00056622">
        <w:rPr>
          <w:sz w:val="22"/>
          <w:szCs w:val="22"/>
          <w:lang w:val="cs-CZ"/>
        </w:rPr>
        <w:t>’)</w:t>
      </w:r>
      <w:r w:rsidR="00085A94" w:rsidRPr="00056622">
        <w:rPr>
          <w:sz w:val="22"/>
          <w:szCs w:val="22"/>
          <w:lang w:val="cs-CZ"/>
        </w:rPr>
        <w:t xml:space="preserve"> dnes oznamuje výsledky za finanční rok ukončený k </w:t>
      </w:r>
      <w:r w:rsidRPr="00056622">
        <w:rPr>
          <w:sz w:val="22"/>
          <w:szCs w:val="22"/>
          <w:lang w:val="cs-CZ"/>
        </w:rPr>
        <w:t>31</w:t>
      </w:r>
      <w:r w:rsidR="00085A94" w:rsidRPr="00056622">
        <w:rPr>
          <w:sz w:val="22"/>
          <w:szCs w:val="22"/>
          <w:lang w:val="cs-CZ"/>
        </w:rPr>
        <w:t>. prosinci</w:t>
      </w:r>
      <w:r w:rsidRPr="00056622">
        <w:rPr>
          <w:sz w:val="22"/>
          <w:szCs w:val="22"/>
          <w:lang w:val="cs-CZ"/>
        </w:rPr>
        <w:t xml:space="preserve"> 2022:  </w:t>
      </w:r>
    </w:p>
    <w:p w14:paraId="4E1A457D" w14:textId="77777777" w:rsidR="0083553D" w:rsidRPr="00056622" w:rsidRDefault="0089035F" w:rsidP="0083553D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>Solidní</w:t>
      </w:r>
      <w:r w:rsidR="00964190"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provozní výkon</w:t>
      </w:r>
    </w:p>
    <w:p w14:paraId="60E8B3E2" w14:textId="77777777" w:rsidR="0083553D" w:rsidRPr="00056622" w:rsidRDefault="00714F59" w:rsidP="0083553D">
      <w:pPr>
        <w:pStyle w:val="Standaardtekst"/>
        <w:numPr>
          <w:ilvl w:val="1"/>
          <w:numId w:val="1"/>
        </w:numPr>
        <w:tabs>
          <w:tab w:val="num" w:pos="4046"/>
        </w:tabs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Silný trend v pronájmech </w:t>
      </w:r>
      <w:r w:rsidR="00017B0A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přinesl </w:t>
      </w:r>
      <w:r w:rsidR="00017B0A" w:rsidRPr="002118ED">
        <w:rPr>
          <w:rFonts w:ascii="Times New Roman" w:eastAsia="PMingLiU" w:hAnsi="Times New Roman"/>
          <w:b/>
          <w:bCs/>
          <w:kern w:val="20"/>
          <w:sz w:val="22"/>
          <w:szCs w:val="22"/>
          <w:lang w:val="cs-CZ" w:eastAsia="zh-TW"/>
        </w:rPr>
        <w:t>73,4 milionu EUR</w:t>
      </w:r>
      <w:r w:rsidR="00017B0A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z nově podepsaných a obnovených smluv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, </w:t>
      </w:r>
      <w:r w:rsidR="00017B0A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čímž podepsané závazky k pronájmu po přepočtu na rok dosáhly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964190" w:rsidRPr="002118ED">
        <w:rPr>
          <w:rFonts w:ascii="Times New Roman" w:eastAsia="PMingLiU" w:hAnsi="Times New Roman"/>
          <w:b/>
          <w:bCs/>
          <w:kern w:val="20"/>
          <w:sz w:val="22"/>
          <w:szCs w:val="22"/>
          <w:lang w:val="cs-CZ" w:eastAsia="zh-TW"/>
        </w:rPr>
        <w:t>303</w:t>
      </w:r>
      <w:r w:rsidR="002118ED">
        <w:rPr>
          <w:rFonts w:ascii="Times New Roman" w:eastAsia="PMingLiU" w:hAnsi="Times New Roman"/>
          <w:b/>
          <w:bCs/>
          <w:kern w:val="20"/>
          <w:sz w:val="22"/>
          <w:szCs w:val="22"/>
          <w:lang w:val="cs-CZ" w:eastAsia="zh-TW"/>
        </w:rPr>
        <w:t>,</w:t>
      </w:r>
      <w:r w:rsidR="00964190" w:rsidRPr="002118ED">
        <w:rPr>
          <w:rFonts w:ascii="Times New Roman" w:eastAsia="PMingLiU" w:hAnsi="Times New Roman"/>
          <w:b/>
          <w:bCs/>
          <w:kern w:val="20"/>
          <w:sz w:val="22"/>
          <w:szCs w:val="22"/>
          <w:lang w:val="cs-CZ" w:eastAsia="zh-TW"/>
        </w:rPr>
        <w:t>2 milionu EUR</w:t>
      </w:r>
      <w:r w:rsidR="00964190" w:rsidRPr="00056622">
        <w:rPr>
          <w:rStyle w:val="Znakapoznpodarou"/>
          <w:rFonts w:ascii="Times New Roman" w:eastAsia="PMingLiU" w:hAnsi="Times New Roman"/>
          <w:kern w:val="20"/>
          <w:sz w:val="22"/>
          <w:szCs w:val="22"/>
          <w:lang w:val="cs-CZ" w:eastAsia="zh-TW"/>
        </w:rPr>
        <w:footnoteReference w:id="2"/>
      </w:r>
      <w:r w:rsidR="00017B0A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a představují</w:t>
      </w:r>
      <w:r w:rsidR="0083553D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meziroční nárůst o</w:t>
      </w:r>
      <w:r w:rsidR="0083553D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18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,</w:t>
      </w:r>
      <w:r w:rsidR="0083553D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4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83553D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%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.</w:t>
      </w:r>
    </w:p>
    <w:p w14:paraId="5B9B7FC1" w14:textId="77777777" w:rsidR="0083553D" w:rsidRPr="00056622" w:rsidRDefault="00A64607" w:rsidP="0083553D">
      <w:pPr>
        <w:pStyle w:val="Standaardtekst"/>
        <w:numPr>
          <w:ilvl w:val="1"/>
          <w:numId w:val="1"/>
        </w:numPr>
        <w:tabs>
          <w:tab w:val="num" w:pos="4046"/>
        </w:tabs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Dodáno </w:t>
      </w:r>
      <w:r w:rsidR="0083553D" w:rsidRPr="00056622">
        <w:rPr>
          <w:rFonts w:ascii="Times New Roman" w:hAnsi="Times New Roman"/>
          <w:color w:val="000000"/>
          <w:sz w:val="22"/>
          <w:szCs w:val="22"/>
          <w:lang w:val="cs-CZ"/>
        </w:rPr>
        <w:t>44 proje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>k</w:t>
      </w:r>
      <w:r w:rsidR="00964190" w:rsidRPr="00056622">
        <w:rPr>
          <w:rFonts w:ascii="Times New Roman" w:hAnsi="Times New Roman"/>
          <w:color w:val="000000"/>
          <w:sz w:val="22"/>
          <w:szCs w:val="22"/>
          <w:lang w:val="cs-CZ"/>
        </w:rPr>
        <w:t>t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ů </w:t>
      </w:r>
      <w:r w:rsidR="00491B47" w:rsidRPr="00056622">
        <w:rPr>
          <w:rFonts w:ascii="Times New Roman" w:hAnsi="Times New Roman"/>
          <w:color w:val="000000"/>
          <w:sz w:val="22"/>
          <w:szCs w:val="22"/>
          <w:lang w:val="cs-CZ"/>
        </w:rPr>
        <w:t>o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rekordní</w:t>
      </w:r>
      <w:r w:rsidR="00491B47"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rozloze</w:t>
      </w:r>
      <w:r w:rsidR="0083553D"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83553D" w:rsidRPr="00056622">
        <w:rPr>
          <w:rFonts w:ascii="Times New Roman" w:hAnsi="Times New Roman"/>
          <w:b/>
          <w:color w:val="000000"/>
          <w:sz w:val="22"/>
          <w:szCs w:val="22"/>
          <w:lang w:val="cs-CZ"/>
        </w:rPr>
        <w:t>1</w:t>
      </w:r>
      <w:r w:rsidRPr="00056622">
        <w:rPr>
          <w:rFonts w:ascii="Times New Roman" w:hAnsi="Times New Roman"/>
          <w:b/>
          <w:color w:val="000000"/>
          <w:sz w:val="22"/>
          <w:szCs w:val="22"/>
          <w:lang w:val="cs-CZ"/>
        </w:rPr>
        <w:t xml:space="preserve"> </w:t>
      </w:r>
      <w:r w:rsidR="0083553D" w:rsidRPr="00056622">
        <w:rPr>
          <w:rFonts w:ascii="Times New Roman" w:hAnsi="Times New Roman"/>
          <w:b/>
          <w:color w:val="000000"/>
          <w:sz w:val="22"/>
          <w:szCs w:val="22"/>
          <w:lang w:val="cs-CZ"/>
        </w:rPr>
        <w:t>141</w:t>
      </w:r>
      <w:r w:rsidRPr="00056622">
        <w:rPr>
          <w:rFonts w:ascii="Times New Roman" w:hAnsi="Times New Roman"/>
          <w:b/>
          <w:color w:val="000000"/>
          <w:sz w:val="22"/>
          <w:szCs w:val="22"/>
          <w:lang w:val="cs-CZ"/>
        </w:rPr>
        <w:t xml:space="preserve"> </w:t>
      </w:r>
      <w:r w:rsidR="0083553D" w:rsidRPr="00056622">
        <w:rPr>
          <w:rFonts w:ascii="Times New Roman" w:hAnsi="Times New Roman"/>
          <w:b/>
          <w:color w:val="000000"/>
          <w:sz w:val="22"/>
          <w:szCs w:val="22"/>
          <w:lang w:val="cs-CZ"/>
        </w:rPr>
        <w:t xml:space="preserve">000 </w:t>
      </w:r>
      <w:r w:rsidR="0083553D" w:rsidRPr="00056622">
        <w:rPr>
          <w:rFonts w:ascii="Times New Roman" w:eastAsia="PMingLiU" w:hAnsi="Times New Roman"/>
          <w:b/>
          <w:kern w:val="20"/>
          <w:sz w:val="22"/>
          <w:szCs w:val="22"/>
          <w:lang w:val="cs-CZ" w:eastAsia="zh-TW"/>
        </w:rPr>
        <w:t>m²</w:t>
      </w:r>
      <w:r w:rsidR="00491B47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, což představuje </w:t>
      </w:r>
      <w:r w:rsidR="0083553D" w:rsidRPr="00056622">
        <w:rPr>
          <w:rFonts w:ascii="Times New Roman" w:hAnsi="Times New Roman"/>
          <w:color w:val="000000"/>
          <w:sz w:val="22"/>
          <w:szCs w:val="22"/>
          <w:lang w:val="cs-CZ"/>
        </w:rPr>
        <w:t>71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>,</w:t>
      </w:r>
      <w:r w:rsidR="0083553D"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9 </w:t>
      </w:r>
      <w:r w:rsidR="0083553D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milion</w:t>
      </w: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u EUR </w:t>
      </w:r>
      <w:r w:rsidR="00714F59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výnosu z pronájmů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po přepočtu na rok.</w:t>
      </w:r>
    </w:p>
    <w:p w14:paraId="7780E61A" w14:textId="77777777" w:rsidR="0083553D" w:rsidRPr="00056622" w:rsidRDefault="00491B47" w:rsidP="00964190">
      <w:pPr>
        <w:pStyle w:val="Standaardtekst"/>
        <w:numPr>
          <w:ilvl w:val="1"/>
          <w:numId w:val="1"/>
        </w:numPr>
        <w:tabs>
          <w:tab w:val="num" w:pos="4046"/>
        </w:tabs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Ke konci roku je ve výst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a</w:t>
      </w: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vbě </w:t>
      </w:r>
      <w:r w:rsidR="0083553D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26</w:t>
      </w: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projektů o celkové ploše 814 000 m</w:t>
      </w:r>
      <w:r w:rsidRPr="00056622">
        <w:rPr>
          <w:rFonts w:ascii="Times New Roman" w:eastAsia="PMingLiU" w:hAnsi="Times New Roman"/>
          <w:kern w:val="20"/>
          <w:sz w:val="22"/>
          <w:szCs w:val="22"/>
          <w:vertAlign w:val="superscript"/>
          <w:lang w:val="cs-CZ" w:eastAsia="zh-TW"/>
        </w:rPr>
        <w:t>2</w:t>
      </w: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, což představuje dalších 51,3 milionu EUR v ročních nájmech poté, co bude dostavěno a pronajato (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dnes předem pronajato </w:t>
      </w:r>
      <w:r w:rsidR="00017B0A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více než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90 %</w:t>
      </w:r>
      <w:r w:rsidR="0083553D" w:rsidRPr="00056622">
        <w:rPr>
          <w:rStyle w:val="Znakapoznpodarou"/>
          <w:rFonts w:ascii="Times New Roman" w:eastAsia="PMingLiU" w:hAnsi="Times New Roman"/>
          <w:b/>
          <w:kern w:val="20"/>
          <w:sz w:val="22"/>
          <w:szCs w:val="22"/>
          <w:lang w:val="cs-CZ" w:eastAsia="zh-TW"/>
        </w:rPr>
        <w:footnoteReference w:id="3"/>
      </w:r>
      <w:r w:rsidR="0083553D" w:rsidRPr="00056622">
        <w:rPr>
          <w:rFonts w:eastAsia="PMingLiU"/>
          <w:kern w:val="20"/>
          <w:sz w:val="22"/>
          <w:szCs w:val="22"/>
          <w:lang w:val="cs-CZ" w:eastAsia="zh-TW"/>
        </w:rPr>
        <w:t>)</w:t>
      </w:r>
      <w:r w:rsidR="00017B0A" w:rsidRPr="00056622">
        <w:rPr>
          <w:rFonts w:eastAsia="PMingLiU"/>
          <w:kern w:val="20"/>
          <w:sz w:val="22"/>
          <w:szCs w:val="22"/>
          <w:lang w:val="cs-CZ" w:eastAsia="zh-TW"/>
        </w:rPr>
        <w:t>.</w:t>
      </w:r>
    </w:p>
    <w:p w14:paraId="099FE09C" w14:textId="77777777" w:rsidR="0083553D" w:rsidRPr="00056622" w:rsidRDefault="0083553D" w:rsidP="0083553D">
      <w:pPr>
        <w:pStyle w:val="Standaardtekst"/>
        <w:numPr>
          <w:ilvl w:val="1"/>
          <w:numId w:val="1"/>
        </w:numPr>
        <w:tabs>
          <w:tab w:val="num" w:pos="4046"/>
        </w:tabs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5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,</w:t>
      </w: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9 milion</w:t>
      </w:r>
      <w:r w:rsidR="00964190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u EUR hrubého příjmu z obnovitelné energie</w:t>
      </w:r>
      <w:r w:rsidR="00017B0A"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.</w:t>
      </w:r>
    </w:p>
    <w:p w14:paraId="557880A9" w14:textId="77777777" w:rsidR="0083553D" w:rsidRPr="00056622" w:rsidRDefault="00654FD4" w:rsidP="0083553D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2118ED">
        <w:rPr>
          <w:rFonts w:ascii="Times New Roman" w:hAnsi="Times New Roman"/>
          <w:b/>
          <w:bCs/>
          <w:color w:val="000000"/>
          <w:sz w:val="22"/>
          <w:szCs w:val="22"/>
          <w:lang w:val="cs-CZ"/>
        </w:rPr>
        <w:t>Provozní zisk ve výši 177,5 milionu EUR</w:t>
      </w:r>
      <w:r w:rsidRPr="002118ED">
        <w:rPr>
          <w:rFonts w:ascii="Times New Roman" w:hAnsi="Times New Roman"/>
          <w:color w:val="000000"/>
          <w:sz w:val="22"/>
          <w:szCs w:val="22"/>
          <w:lang w:val="cs-CZ"/>
        </w:rPr>
        <w:t xml:space="preserve"> před nerealizovanými ztrátami z ocenění ve výši 293 milionů EUR</w:t>
      </w:r>
      <w:r w:rsidRPr="002118ED">
        <w:rPr>
          <w:rStyle w:val="Znakapoznpodarou"/>
          <w:rFonts w:ascii="Times New Roman" w:hAnsi="Times New Roman"/>
          <w:color w:val="000000"/>
          <w:sz w:val="22"/>
          <w:szCs w:val="22"/>
          <w:lang w:val="cs-CZ"/>
        </w:rPr>
        <w:footnoteReference w:id="4"/>
      </w:r>
      <w:r w:rsidRPr="002118ED">
        <w:rPr>
          <w:rFonts w:ascii="Times New Roman" w:hAnsi="Times New Roman"/>
          <w:color w:val="000000"/>
          <w:sz w:val="22"/>
          <w:szCs w:val="22"/>
          <w:lang w:val="cs-CZ"/>
        </w:rPr>
        <w:t xml:space="preserve"> mimo jiné odráží zápornou změnu ocenění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177FD4">
        <w:rPr>
          <w:rFonts w:ascii="Times New Roman" w:hAnsi="Times New Roman"/>
          <w:color w:val="000000"/>
          <w:sz w:val="22"/>
          <w:szCs w:val="22"/>
          <w:lang w:val="cs-CZ"/>
        </w:rPr>
        <w:t xml:space="preserve">totožných aktiv 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>portfolia VGP</w:t>
      </w:r>
      <w:r w:rsidRPr="00056622">
        <w:rPr>
          <w:rStyle w:val="Znakapoznpodarou"/>
          <w:rFonts w:ascii="Times New Roman" w:hAnsi="Times New Roman"/>
          <w:color w:val="000000"/>
          <w:sz w:val="22"/>
          <w:szCs w:val="22"/>
          <w:lang w:val="cs-CZ"/>
        </w:rPr>
        <w:footnoteReference w:id="5"/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o 7,33 % v důsledku dalšího zvyšování tržních výnosů.</w:t>
      </w:r>
    </w:p>
    <w:p w14:paraId="465F8234" w14:textId="77777777" w:rsidR="0083553D" w:rsidRPr="00056622" w:rsidRDefault="00654FD4" w:rsidP="0083553D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Recyklace hotovosti ve výši 347 milionů EUR </w:t>
      </w:r>
      <w:r w:rsidRPr="00BB6C38">
        <w:rPr>
          <w:rFonts w:ascii="Times New Roman" w:hAnsi="Times New Roman"/>
          <w:color w:val="000000"/>
          <w:sz w:val="22"/>
          <w:szCs w:val="22"/>
          <w:lang w:val="cs-CZ"/>
        </w:rPr>
        <w:t xml:space="preserve">prostřednictvím prodejů a </w:t>
      </w:r>
      <w:r w:rsidR="0089035F" w:rsidRPr="00BB6C38">
        <w:rPr>
          <w:rFonts w:ascii="Times New Roman" w:hAnsi="Times New Roman"/>
          <w:color w:val="000000"/>
          <w:sz w:val="22"/>
          <w:szCs w:val="22"/>
          <w:lang w:val="cs-CZ"/>
        </w:rPr>
        <w:t>uzavřen</w:t>
      </w:r>
      <w:r w:rsidR="00177FD4">
        <w:rPr>
          <w:rFonts w:ascii="Times New Roman" w:hAnsi="Times New Roman"/>
          <w:color w:val="000000"/>
          <w:sz w:val="22"/>
          <w:szCs w:val="22"/>
          <w:lang w:val="cs-CZ"/>
        </w:rPr>
        <w:t>ých</w:t>
      </w:r>
      <w:r w:rsidR="0089035F" w:rsidRPr="00BB6C38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BB6C38">
        <w:rPr>
          <w:rFonts w:ascii="Times New Roman" w:hAnsi="Times New Roman"/>
          <w:color w:val="000000"/>
          <w:sz w:val="22"/>
          <w:szCs w:val="22"/>
          <w:lang w:val="cs-CZ"/>
        </w:rPr>
        <w:t>transakcí se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společnými podniky, které vedly k realiz</w:t>
      </w:r>
      <w:r w:rsidR="00BB6C38">
        <w:rPr>
          <w:rFonts w:ascii="Times New Roman" w:hAnsi="Times New Roman"/>
          <w:color w:val="000000"/>
          <w:sz w:val="22"/>
          <w:szCs w:val="22"/>
          <w:lang w:val="cs-CZ"/>
        </w:rPr>
        <w:t>ovaným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zisků</w:t>
      </w:r>
      <w:r w:rsidR="00BB6C38">
        <w:rPr>
          <w:rFonts w:ascii="Times New Roman" w:hAnsi="Times New Roman"/>
          <w:color w:val="000000"/>
          <w:sz w:val="22"/>
          <w:szCs w:val="22"/>
          <w:lang w:val="cs-CZ"/>
        </w:rPr>
        <w:t>m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ve výši 87,2 milionu EUR v roce </w:t>
      </w:r>
      <w:r w:rsidR="00BB6C38" w:rsidRPr="00056622">
        <w:rPr>
          <w:rFonts w:ascii="Times New Roman" w:hAnsi="Times New Roman"/>
          <w:color w:val="000000"/>
          <w:sz w:val="22"/>
          <w:szCs w:val="22"/>
          <w:lang w:val="cs-CZ"/>
        </w:rPr>
        <w:t>rekordní</w:t>
      </w:r>
      <w:r w:rsidR="00BB6C38">
        <w:rPr>
          <w:rFonts w:ascii="Times New Roman" w:hAnsi="Times New Roman"/>
          <w:color w:val="000000"/>
          <w:sz w:val="22"/>
          <w:szCs w:val="22"/>
          <w:lang w:val="cs-CZ"/>
        </w:rPr>
        <w:t>ch</w:t>
      </w:r>
      <w:r w:rsidR="00BB6C38"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>transakcí se společnými podniky.</w:t>
      </w:r>
    </w:p>
    <w:p w14:paraId="5912EA58" w14:textId="77777777" w:rsidR="0083553D" w:rsidRPr="00056622" w:rsidRDefault="00BB6C38" w:rsidP="0083553D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>Pokrok ve</w:t>
      </w:r>
      <w:r w:rsidR="002436B6"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stávajících společných podni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cích</w:t>
      </w:r>
      <w:r w:rsidR="0083553D" w:rsidRPr="00056622">
        <w:rPr>
          <w:rFonts w:ascii="Times New Roman" w:hAnsi="Times New Roman"/>
          <w:color w:val="000000"/>
          <w:sz w:val="22"/>
          <w:szCs w:val="22"/>
          <w:lang w:val="cs-CZ"/>
        </w:rPr>
        <w:t>:</w:t>
      </w:r>
    </w:p>
    <w:p w14:paraId="45B5098F" w14:textId="77777777" w:rsidR="0083553D" w:rsidRPr="00056622" w:rsidRDefault="00F702E4" w:rsidP="0083553D">
      <w:pPr>
        <w:pStyle w:val="Standaardtekst"/>
        <w:numPr>
          <w:ilvl w:val="1"/>
          <w:numId w:val="1"/>
        </w:numPr>
        <w:tabs>
          <w:tab w:val="num" w:pos="4046"/>
        </w:tabs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>K</w:t>
      </w:r>
      <w:r w:rsidR="00273926"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17. lednu úspěšně provedená desátá transakce s Prvním společným podnikem, přinášející 81 milionů EUR v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> </w:t>
      </w:r>
      <w:r w:rsidR="00273926" w:rsidRPr="00056622">
        <w:rPr>
          <w:rFonts w:ascii="Times New Roman" w:hAnsi="Times New Roman"/>
          <w:color w:val="000000"/>
          <w:sz w:val="22"/>
          <w:szCs w:val="22"/>
          <w:lang w:val="cs-CZ"/>
        </w:rPr>
        <w:t>hotovosti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>.</w:t>
      </w:r>
    </w:p>
    <w:p w14:paraId="4D3C99C0" w14:textId="77777777" w:rsidR="0083553D" w:rsidRPr="00056622" w:rsidRDefault="00273926" w:rsidP="0083553D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>Pokročil</w:t>
      </w:r>
      <w:r w:rsidR="00BB6C38">
        <w:rPr>
          <w:rFonts w:ascii="Times New Roman" w:hAnsi="Times New Roman"/>
          <w:color w:val="000000"/>
          <w:sz w:val="22"/>
          <w:szCs w:val="22"/>
          <w:lang w:val="cs-CZ"/>
        </w:rPr>
        <w:t>á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BB6C38">
        <w:rPr>
          <w:rFonts w:ascii="Times New Roman" w:hAnsi="Times New Roman"/>
          <w:color w:val="000000"/>
          <w:sz w:val="22"/>
          <w:szCs w:val="22"/>
          <w:lang w:val="cs-CZ"/>
        </w:rPr>
        <w:t>jednání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o založení nových společných podniků</w:t>
      </w:r>
      <w:r w:rsidR="002436B6"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v roce 2023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a</w:t>
      </w:r>
      <w:r w:rsidR="00177FD4">
        <w:rPr>
          <w:rFonts w:ascii="Times New Roman" w:hAnsi="Times New Roman"/>
          <w:color w:val="000000"/>
          <w:sz w:val="22"/>
          <w:szCs w:val="22"/>
          <w:lang w:val="cs-CZ"/>
        </w:rPr>
        <w:t xml:space="preserve"> o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BB6C38">
        <w:rPr>
          <w:rFonts w:ascii="Times New Roman" w:hAnsi="Times New Roman"/>
          <w:color w:val="000000"/>
          <w:sz w:val="22"/>
          <w:szCs w:val="22"/>
          <w:lang w:val="cs-CZ"/>
        </w:rPr>
        <w:t xml:space="preserve">uzavření </w:t>
      </w:r>
      <w:r w:rsidRPr="00056622">
        <w:rPr>
          <w:rFonts w:ascii="Times New Roman" w:hAnsi="Times New Roman"/>
          <w:color w:val="000000"/>
          <w:sz w:val="22"/>
          <w:szCs w:val="22"/>
          <w:lang w:val="cs-CZ"/>
        </w:rPr>
        <w:t xml:space="preserve">transakcí s nimi </w:t>
      </w:r>
      <w:r w:rsidR="002436B6" w:rsidRPr="00056622">
        <w:rPr>
          <w:rFonts w:ascii="Times New Roman" w:hAnsi="Times New Roman"/>
          <w:color w:val="000000"/>
          <w:sz w:val="22"/>
          <w:szCs w:val="22"/>
          <w:lang w:val="cs-CZ"/>
        </w:rPr>
        <w:t>v různých částech portfoli</w:t>
      </w:r>
      <w:r w:rsidR="00F702E4" w:rsidRPr="00056622">
        <w:rPr>
          <w:rFonts w:ascii="Times New Roman" w:hAnsi="Times New Roman"/>
          <w:color w:val="000000"/>
          <w:sz w:val="22"/>
          <w:szCs w:val="22"/>
          <w:lang w:val="cs-CZ"/>
        </w:rPr>
        <w:t>a</w:t>
      </w:r>
      <w:r w:rsidR="002436B6" w:rsidRPr="00056622">
        <w:rPr>
          <w:rFonts w:ascii="Times New Roman" w:hAnsi="Times New Roman"/>
          <w:color w:val="000000"/>
          <w:sz w:val="22"/>
          <w:szCs w:val="22"/>
          <w:lang w:val="cs-CZ"/>
        </w:rPr>
        <w:t>.</w:t>
      </w:r>
    </w:p>
    <w:p w14:paraId="28E33CAF" w14:textId="77777777" w:rsidR="0083553D" w:rsidRPr="00177FD4" w:rsidRDefault="00A64607" w:rsidP="0083553D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056622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Poměr zadluženosti ke konci roku činí </w:t>
      </w:r>
      <w:r w:rsidR="0083553D" w:rsidRPr="00056622">
        <w:rPr>
          <w:rFonts w:ascii="Times New Roman" w:hAnsi="Times New Roman"/>
          <w:color w:val="000000" w:themeColor="text1"/>
          <w:sz w:val="22"/>
          <w:szCs w:val="22"/>
          <w:lang w:val="cs-CZ"/>
        </w:rPr>
        <w:t>34</w:t>
      </w:r>
      <w:r w:rsidRPr="00056622">
        <w:rPr>
          <w:rFonts w:ascii="Times New Roman" w:hAnsi="Times New Roman"/>
          <w:color w:val="000000" w:themeColor="text1"/>
          <w:sz w:val="22"/>
          <w:szCs w:val="22"/>
          <w:lang w:val="cs-CZ"/>
        </w:rPr>
        <w:t>,</w:t>
      </w:r>
      <w:r w:rsidR="0083553D" w:rsidRPr="00056622">
        <w:rPr>
          <w:rFonts w:ascii="Times New Roman" w:hAnsi="Times New Roman"/>
          <w:color w:val="000000" w:themeColor="text1"/>
          <w:sz w:val="22"/>
          <w:szCs w:val="22"/>
          <w:lang w:val="cs-CZ"/>
        </w:rPr>
        <w:t>4</w:t>
      </w:r>
      <w:r w:rsidRPr="00056622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  <w:r w:rsidR="0083553D" w:rsidRPr="00177FD4">
        <w:rPr>
          <w:rFonts w:ascii="Times New Roman" w:hAnsi="Times New Roman"/>
          <w:color w:val="000000" w:themeColor="text1"/>
          <w:sz w:val="22"/>
          <w:szCs w:val="22"/>
          <w:lang w:val="cs-CZ"/>
        </w:rPr>
        <w:t>%,</w:t>
      </w:r>
      <w:r w:rsidR="00714F59" w:rsidRPr="00177FD4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podpořený 1,1 miliardou EUR dostupné likvidity</w:t>
      </w:r>
      <w:r w:rsidR="00177FD4">
        <w:rPr>
          <w:rFonts w:ascii="Times New Roman" w:hAnsi="Times New Roman"/>
          <w:color w:val="000000" w:themeColor="text1"/>
          <w:sz w:val="22"/>
          <w:szCs w:val="22"/>
          <w:lang w:val="cs-CZ"/>
        </w:rPr>
        <w:t>.</w:t>
      </w:r>
    </w:p>
    <w:p w14:paraId="309BC890" w14:textId="77777777" w:rsidR="0083553D" w:rsidRPr="00056622" w:rsidRDefault="00273926" w:rsidP="0083553D">
      <w:pPr>
        <w:pStyle w:val="Standaardtekst"/>
        <w:numPr>
          <w:ilvl w:val="0"/>
          <w:numId w:val="1"/>
        </w:numPr>
        <w:tabs>
          <w:tab w:val="num" w:pos="4046"/>
        </w:tabs>
        <w:spacing w:after="60" w:line="276" w:lineRule="auto"/>
        <w:ind w:left="567" w:hanging="567"/>
        <w:jc w:val="both"/>
        <w:rPr>
          <w:rFonts w:eastAsia="PMingLiU"/>
          <w:kern w:val="20"/>
          <w:sz w:val="22"/>
          <w:szCs w:val="22"/>
          <w:lang w:val="cs-CZ" w:eastAsia="zh-TW"/>
        </w:rPr>
      </w:pPr>
      <w:r w:rsidRPr="0005662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Záměr navrhnout valné hromadě rozdělení hrubé dividendy v hodnotě 2,75 EUR za akcii.</w:t>
      </w:r>
    </w:p>
    <w:p w14:paraId="6369FE9F" w14:textId="77777777" w:rsidR="0083553D" w:rsidRPr="00056622" w:rsidRDefault="0083553D" w:rsidP="0083553D">
      <w:pPr>
        <w:pStyle w:val="Standaardtekst"/>
        <w:tabs>
          <w:tab w:val="num" w:pos="4046"/>
        </w:tabs>
        <w:spacing w:after="60" w:line="276" w:lineRule="auto"/>
        <w:ind w:left="567"/>
        <w:jc w:val="both"/>
        <w:rPr>
          <w:rFonts w:eastAsia="PMingLiU"/>
          <w:kern w:val="20"/>
          <w:sz w:val="22"/>
          <w:szCs w:val="22"/>
          <w:lang w:val="cs-CZ" w:eastAsia="zh-TW"/>
        </w:rPr>
      </w:pPr>
    </w:p>
    <w:p w14:paraId="745A1072" w14:textId="45D54233" w:rsidR="00F702E4" w:rsidRPr="00D86B15" w:rsidRDefault="00F702E4" w:rsidP="0083553D">
      <w:pPr>
        <w:jc w:val="both"/>
        <w:rPr>
          <w:color w:val="000000" w:themeColor="text1"/>
          <w:sz w:val="22"/>
          <w:szCs w:val="22"/>
          <w:shd w:val="clear" w:color="auto" w:fill="FFFFFF"/>
          <w:lang w:val="cs-CZ"/>
        </w:rPr>
      </w:pP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„Jsem hrdý na naše výsledky v roce 2022. Z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 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hlediska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činností v oblasti pronájmu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je to jeden z našich nejlepších roků v historii a s ohledem na ekonomické a geopolitické výzvy je to možná náš dosud nejlepší rok, během nějž jsme podepsali a obnovili 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nájemní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smlouvy v hodnotě 73,4 milionu </w:t>
      </w:r>
      <w:r w:rsidR="001F12CB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EUR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. Zatímco v reakci na makroekonomické podmínky jsme zaznamenali znehodnocení našeho portfolia, společnost VGP v roce 2022 realizovala zisky ve výši 87,2 milionu EUR ze všech </w:t>
      </w:r>
      <w:r w:rsidRPr="002118ED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prodejů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do společných podniků, což odráží vysok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á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dvoucifern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á hodnota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vnitřní </w:t>
      </w:r>
      <w:r w:rsidR="001F12CB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míry návratnosti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v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tomto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roce, 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jenž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byl rekordní 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počtem </w:t>
      </w:r>
      <w:r w:rsidR="00BB6C38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uzavřených </w:t>
      </w:r>
      <w:r w:rsidR="00714F59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transakcí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s našimi partnery ze společných podniků</w:t>
      </w:r>
      <w:r w:rsidR="00D86B15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,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“</w:t>
      </w:r>
      <w:r w:rsidR="00D86B15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</w:t>
      </w:r>
      <w:r w:rsidR="00D86B15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komentuje </w:t>
      </w:r>
      <w:r w:rsidR="00D86B15" w:rsidRPr="00056622">
        <w:rPr>
          <w:b/>
          <w:color w:val="000000" w:themeColor="text1"/>
          <w:sz w:val="22"/>
          <w:szCs w:val="22"/>
          <w:shd w:val="clear" w:color="auto" w:fill="FFFFFF"/>
          <w:lang w:val="cs-CZ"/>
        </w:rPr>
        <w:t xml:space="preserve">Jan Van </w:t>
      </w:r>
      <w:proofErr w:type="spellStart"/>
      <w:r w:rsidR="00D86B15" w:rsidRPr="00056622">
        <w:rPr>
          <w:b/>
          <w:color w:val="000000" w:themeColor="text1"/>
          <w:sz w:val="22"/>
          <w:szCs w:val="22"/>
          <w:shd w:val="clear" w:color="auto" w:fill="FFFFFF"/>
          <w:lang w:val="cs-CZ"/>
        </w:rPr>
        <w:t>Geet</w:t>
      </w:r>
      <w:proofErr w:type="spellEnd"/>
      <w:r w:rsidR="00D86B15" w:rsidRPr="00056622">
        <w:rPr>
          <w:b/>
          <w:color w:val="000000" w:themeColor="text1"/>
          <w:sz w:val="22"/>
          <w:szCs w:val="22"/>
          <w:shd w:val="clear" w:color="auto" w:fill="FFFFFF"/>
          <w:lang w:val="cs-CZ"/>
        </w:rPr>
        <w:t>, výkonný ředitel VGP</w:t>
      </w:r>
      <w:r w:rsidR="00D86B15">
        <w:rPr>
          <w:b/>
          <w:color w:val="000000" w:themeColor="text1"/>
          <w:sz w:val="22"/>
          <w:szCs w:val="22"/>
          <w:shd w:val="clear" w:color="auto" w:fill="FFFFFF"/>
          <w:lang w:val="cs-CZ"/>
        </w:rPr>
        <w:t>.</w:t>
      </w:r>
    </w:p>
    <w:p w14:paraId="3E35DAD4" w14:textId="77777777" w:rsidR="0083553D" w:rsidRPr="00056622" w:rsidRDefault="0083553D" w:rsidP="0083553D">
      <w:pPr>
        <w:jc w:val="both"/>
        <w:rPr>
          <w:i/>
          <w:color w:val="000000" w:themeColor="text1"/>
          <w:sz w:val="22"/>
          <w:szCs w:val="22"/>
          <w:shd w:val="clear" w:color="auto" w:fill="FFFFFF"/>
          <w:lang w:val="cs-CZ"/>
        </w:rPr>
      </w:pPr>
    </w:p>
    <w:p w14:paraId="3318C2C5" w14:textId="5EE7381D" w:rsidR="0083553D" w:rsidRPr="00330085" w:rsidRDefault="001F12CB" w:rsidP="0083553D">
      <w:pPr>
        <w:jc w:val="both"/>
        <w:rPr>
          <w:color w:val="000000" w:themeColor="text1"/>
          <w:sz w:val="22"/>
          <w:szCs w:val="22"/>
          <w:shd w:val="clear" w:color="auto" w:fill="FFFFFF"/>
          <w:lang w:val="cs-CZ"/>
        </w:rPr>
      </w:pP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„V průběhu roku jsme dodali rekordní počet více než 1,1 milionu metrů čtverečních vysoce kvalitních aktiv a v důsledku toho se naše čisté příjmy z pronájmu a obnovitelných zdrojů energie zvýšily o 51 % na 107 milionů EUR. S celkovým smluv</w:t>
      </w:r>
      <w:r w:rsidR="001B6B81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e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n</w:t>
      </w:r>
      <w:r w:rsidR="001B6B81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ý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m příjmem z pronájm</w:t>
      </w:r>
      <w:r w:rsidR="001B6B81"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ů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ve výši 303 milionů EUR bude cashflow našeho portfolia růst podobným tempem i v roce 2023. Stejně tak i naše úsilí při budování 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lastRenderedPageBreak/>
        <w:t xml:space="preserve">platformy obnovitelné energie zaznamenává dobrou dynamiku s +200 </w:t>
      </w:r>
      <w:proofErr w:type="spellStart"/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MWp</w:t>
      </w:r>
      <w:proofErr w:type="spellEnd"/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solárních systémů, které jsou již instalovány nebo ve výstavbě</w:t>
      </w:r>
      <w:r w:rsidR="00330085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,</w:t>
      </w:r>
      <w:r w:rsidRPr="00056622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“</w:t>
      </w:r>
      <w:r w:rsidR="00330085">
        <w:rPr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 </w:t>
      </w:r>
      <w:r w:rsidR="00330085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pokračuje </w:t>
      </w:r>
      <w:r w:rsidR="00330085" w:rsidRPr="00056622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Jan Van </w:t>
      </w:r>
      <w:proofErr w:type="spellStart"/>
      <w:r w:rsidR="00330085" w:rsidRPr="00056622">
        <w:rPr>
          <w:color w:val="000000" w:themeColor="text1"/>
          <w:sz w:val="22"/>
          <w:szCs w:val="22"/>
          <w:shd w:val="clear" w:color="auto" w:fill="FFFFFF"/>
          <w:lang w:val="cs-CZ"/>
        </w:rPr>
        <w:t>Geet</w:t>
      </w:r>
      <w:proofErr w:type="spellEnd"/>
      <w:r w:rsidR="00330085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. </w:t>
      </w:r>
    </w:p>
    <w:p w14:paraId="57F4CB8B" w14:textId="77777777" w:rsidR="0083553D" w:rsidRPr="00056622" w:rsidRDefault="0083553D" w:rsidP="0083553D">
      <w:pPr>
        <w:jc w:val="both"/>
        <w:rPr>
          <w:i/>
          <w:color w:val="000000" w:themeColor="text1"/>
          <w:sz w:val="22"/>
          <w:szCs w:val="22"/>
          <w:shd w:val="clear" w:color="auto" w:fill="FFFFFF"/>
          <w:lang w:val="cs-CZ"/>
        </w:rPr>
      </w:pPr>
    </w:p>
    <w:p w14:paraId="65317460" w14:textId="53BBB501" w:rsidR="001F12CB" w:rsidRDefault="00056622" w:rsidP="0083553D">
      <w:pPr>
        <w:jc w:val="both"/>
        <w:rPr>
          <w:color w:val="000000" w:themeColor="text1"/>
          <w:sz w:val="22"/>
          <w:szCs w:val="22"/>
          <w:shd w:val="clear" w:color="auto" w:fill="FFFFFF"/>
          <w:lang w:val="cs-CZ"/>
        </w:rPr>
      </w:pPr>
      <w:r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„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K roku 2023 přistupujeme</w:t>
      </w:r>
      <w:r w:rsidR="002118ED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s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důvěrou, protože vidíme, že poptávka ze strany nájemců je stále </w:t>
      </w:r>
      <w:r w:rsidR="00177FD4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dobrá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, náklady na výstavbu začínají klesat a naše technická způsobilost a opatření ESG se stávají stále důležitějšími faktory</w:t>
      </w:r>
      <w:r w:rsidR="002118ED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, které nás definují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. Těžíme ze silné hotovostní pozice a vyhlížíme nové příležitosti, které se v současném prostředí </w:t>
      </w:r>
      <w:r w:rsidR="00177FD4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objeví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. Přesto zůstáváme vzhledem k převládajícím nejistotám ostražití a zaměřujeme se na ziskový rozvoj za atraktivních podmínek. To se projevilo v prosinci loňského roku při </w:t>
      </w:r>
      <w:r w:rsidR="002118ED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předání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VGP Park</w:t>
      </w:r>
      <w:r w:rsidR="002118ED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u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M</w:t>
      </w:r>
      <w:r w:rsidR="00F22933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nichov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, který byl vybaven nejvyššími technickými standardy a řadou opatření v oblasti udržitelnosti a byl předám bezpečně v rámci rozpočtu. Spoléháme na žádanost našich lokalit a pružnost našich týmů, </w:t>
      </w:r>
      <w:r w:rsidR="001B6B81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které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dále pos</w:t>
      </w:r>
      <w:r w:rsidR="001B6B81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ilují</w:t>
      </w:r>
      <w:r w:rsidR="001F12CB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</w:t>
      </w:r>
      <w:r w:rsidR="001B6B81"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plánování projektů</w:t>
      </w:r>
      <w:r w:rsidR="00330085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,</w:t>
      </w:r>
      <w:r w:rsidRPr="00056622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>“</w:t>
      </w:r>
      <w:r w:rsidR="00330085">
        <w:rPr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</w:t>
      </w:r>
      <w:r w:rsidR="00330085">
        <w:rPr>
          <w:iCs/>
          <w:color w:val="000000" w:themeColor="text1"/>
          <w:sz w:val="22"/>
          <w:szCs w:val="22"/>
          <w:shd w:val="clear" w:color="auto" w:fill="FFFFFF"/>
          <w:lang w:val="cs-CZ"/>
        </w:rPr>
        <w:t xml:space="preserve">uzavírá </w:t>
      </w:r>
      <w:r w:rsidR="00330085" w:rsidRPr="00056622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Jan Van </w:t>
      </w:r>
      <w:proofErr w:type="spellStart"/>
      <w:r w:rsidR="00330085" w:rsidRPr="00056622">
        <w:rPr>
          <w:color w:val="000000" w:themeColor="text1"/>
          <w:sz w:val="22"/>
          <w:szCs w:val="22"/>
          <w:shd w:val="clear" w:color="auto" w:fill="FFFFFF"/>
          <w:lang w:val="cs-CZ"/>
        </w:rPr>
        <w:t>Geet</w:t>
      </w:r>
      <w:proofErr w:type="spellEnd"/>
      <w:r w:rsidR="00330085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. </w:t>
      </w:r>
    </w:p>
    <w:p w14:paraId="0A4E27F8" w14:textId="77777777" w:rsidR="00AB446D" w:rsidRDefault="00AB446D" w:rsidP="0083553D">
      <w:pPr>
        <w:jc w:val="both"/>
        <w:rPr>
          <w:color w:val="000000" w:themeColor="text1"/>
          <w:sz w:val="22"/>
          <w:szCs w:val="22"/>
          <w:shd w:val="clear" w:color="auto" w:fill="FFFFFF"/>
          <w:lang w:val="cs-CZ"/>
        </w:rPr>
      </w:pPr>
    </w:p>
    <w:p w14:paraId="43D9F5DF" w14:textId="5B5AA832" w:rsidR="00AB446D" w:rsidRDefault="00AB446D" w:rsidP="0083553D">
      <w:pPr>
        <w:jc w:val="both"/>
        <w:rPr>
          <w:color w:val="000000" w:themeColor="text1"/>
          <w:sz w:val="22"/>
          <w:szCs w:val="22"/>
          <w:shd w:val="clear" w:color="auto" w:fill="FFFFFF"/>
          <w:lang w:val="cs-CZ"/>
        </w:rPr>
      </w:pPr>
      <w:r>
        <w:rPr>
          <w:color w:val="000000" w:themeColor="text1"/>
          <w:sz w:val="22"/>
          <w:szCs w:val="22"/>
          <w:shd w:val="clear" w:color="auto" w:fill="FFFFFF"/>
          <w:lang w:val="cs-CZ"/>
        </w:rPr>
        <w:t>Plné znění zprávy</w:t>
      </w:r>
      <w:r w:rsidR="00AC2108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 naleznete na odkaze: </w:t>
      </w:r>
      <w:hyperlink r:id="rId9" w:history="1">
        <w:r w:rsidR="00AC2108" w:rsidRPr="00AC2108">
          <w:rPr>
            <w:rStyle w:val="Hypertextovodkaz"/>
            <w:sz w:val="22"/>
            <w:szCs w:val="22"/>
            <w:shd w:val="clear" w:color="auto" w:fill="FFFFFF"/>
            <w:lang w:val="cs-CZ"/>
          </w:rPr>
          <w:t>link</w:t>
        </w:r>
      </w:hyperlink>
      <w:r w:rsidR="00AC2108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 </w:t>
      </w:r>
    </w:p>
    <w:p w14:paraId="50ADEE11" w14:textId="77777777" w:rsidR="00AB446D" w:rsidRDefault="00AB446D" w:rsidP="0083553D">
      <w:pPr>
        <w:jc w:val="both"/>
        <w:rPr>
          <w:color w:val="000000" w:themeColor="text1"/>
          <w:sz w:val="22"/>
          <w:szCs w:val="22"/>
          <w:shd w:val="clear" w:color="auto" w:fill="FFFFFF"/>
          <w:lang w:val="cs-CZ"/>
        </w:rPr>
      </w:pPr>
    </w:p>
    <w:p w14:paraId="62F559E3" w14:textId="77777777" w:rsidR="00AB446D" w:rsidRDefault="00AB446D" w:rsidP="0083553D">
      <w:pPr>
        <w:jc w:val="both"/>
        <w:rPr>
          <w:color w:val="000000" w:themeColor="text1"/>
          <w:sz w:val="22"/>
          <w:szCs w:val="22"/>
          <w:shd w:val="clear" w:color="auto" w:fill="FFFFFF"/>
          <w:lang w:val="cs-CZ"/>
        </w:rPr>
      </w:pPr>
    </w:p>
    <w:p w14:paraId="3172CF12" w14:textId="77777777" w:rsidR="00AB446D" w:rsidRDefault="00AB446D" w:rsidP="0083553D">
      <w:pPr>
        <w:jc w:val="both"/>
        <w:rPr>
          <w:color w:val="000000" w:themeColor="text1"/>
          <w:sz w:val="22"/>
          <w:szCs w:val="22"/>
          <w:shd w:val="clear" w:color="auto" w:fill="FFFFFF"/>
          <w:lang w:val="cs-CZ"/>
        </w:rPr>
      </w:pPr>
    </w:p>
    <w:p w14:paraId="2C4E4C78" w14:textId="77777777" w:rsidR="00AB446D" w:rsidRPr="00AB446D" w:rsidRDefault="00AB446D" w:rsidP="00AB446D">
      <w:pPr>
        <w:jc w:val="both"/>
        <w:rPr>
          <w:color w:val="000000"/>
          <w:sz w:val="20"/>
          <w:szCs w:val="20"/>
          <w:lang w:val="cs-CZ"/>
        </w:rPr>
      </w:pPr>
      <w:r w:rsidRPr="00AB446D">
        <w:rPr>
          <w:b/>
          <w:bCs/>
          <w:color w:val="000000"/>
          <w:sz w:val="20"/>
          <w:szCs w:val="20"/>
          <w:lang w:val="cs-CZ"/>
        </w:rPr>
        <w:t xml:space="preserve">O společnosti VGP </w:t>
      </w:r>
    </w:p>
    <w:p w14:paraId="52D872B5" w14:textId="77777777" w:rsidR="00AB446D" w:rsidRPr="00AB446D" w:rsidRDefault="00AB446D" w:rsidP="00AB446D">
      <w:pPr>
        <w:pStyle w:val="Prosttext1"/>
        <w:spacing w:line="276" w:lineRule="auto"/>
        <w:jc w:val="both"/>
        <w:rPr>
          <w:rFonts w:ascii="Times New Roman" w:hAnsi="Times New Roman"/>
          <w:szCs w:val="20"/>
          <w:lang w:val="cs-CZ"/>
        </w:rPr>
      </w:pPr>
      <w:r w:rsidRPr="00AB446D">
        <w:rPr>
          <w:rFonts w:ascii="Times New Roman" w:hAnsi="Times New Roman"/>
          <w:szCs w:val="20"/>
          <w:lang w:val="cs-CZ"/>
        </w:rPr>
        <w:t xml:space="preserve">VGP je celoevropský developer, manažer, a vlastník špičkových logistických a </w:t>
      </w:r>
      <w:proofErr w:type="spellStart"/>
      <w:r w:rsidRPr="00AB446D">
        <w:rPr>
          <w:rFonts w:ascii="Times New Roman" w:hAnsi="Times New Roman"/>
          <w:szCs w:val="20"/>
          <w:lang w:val="cs-CZ"/>
        </w:rPr>
        <w:t>semi</w:t>
      </w:r>
      <w:proofErr w:type="spellEnd"/>
      <w:r w:rsidRPr="00AB446D">
        <w:rPr>
          <w:rFonts w:ascii="Times New Roman" w:hAnsi="Times New Roman"/>
          <w:szCs w:val="20"/>
          <w:lang w:val="cs-CZ"/>
        </w:rPr>
        <w:t xml:space="preserve">-industriálních nemovitostí. Provozuje plně integrovaný podnikatelský model s kapacitou a dlouhodobou expertizou napříč dodavatelským řetězcem. Společnost má rozvinuté portfolio pozemků (ve vlastnictví nebo zajištěných) o rozloze 11,31 milionu m² a strategicky se zaměřuje na výstavbu business parků. Společnost byla založena v roce 1998 jako belgický rodinný developer nemovitostí v České republice. Dnes, s cca 380 zaměstnanci, VGP vlastní a provozuje aktiva v 17 evropských zemích, a to jak přímo, tak prostřednictvím několika 50:50 společných podniků. K červnu 2022 činila hrubá hodnota aktiv společnosti VGP, včetně 100 % společných podniků, částku 6,53 miliardy EUR a čistá hodnota aktiv (EPRA NTA) společnosti činila 2,34 miliardy EUR. Společnost VGP je kótována na burze </w:t>
      </w:r>
      <w:proofErr w:type="spellStart"/>
      <w:r w:rsidRPr="00AB446D">
        <w:rPr>
          <w:rFonts w:ascii="Times New Roman" w:hAnsi="Times New Roman"/>
          <w:szCs w:val="20"/>
          <w:lang w:val="cs-CZ"/>
        </w:rPr>
        <w:t>Euronext</w:t>
      </w:r>
      <w:proofErr w:type="spellEnd"/>
      <w:r w:rsidRPr="00AB446D">
        <w:rPr>
          <w:rFonts w:ascii="Times New Roman" w:hAnsi="Times New Roman"/>
          <w:szCs w:val="20"/>
          <w:lang w:val="cs-CZ"/>
        </w:rPr>
        <w:t xml:space="preserve"> </w:t>
      </w:r>
      <w:proofErr w:type="spellStart"/>
      <w:r w:rsidRPr="00AB446D">
        <w:rPr>
          <w:rFonts w:ascii="Times New Roman" w:hAnsi="Times New Roman"/>
          <w:szCs w:val="20"/>
          <w:lang w:val="cs-CZ"/>
        </w:rPr>
        <w:t>Brussels</w:t>
      </w:r>
      <w:proofErr w:type="spellEnd"/>
      <w:r w:rsidRPr="00AB446D">
        <w:rPr>
          <w:rFonts w:ascii="Times New Roman" w:hAnsi="Times New Roman"/>
          <w:szCs w:val="20"/>
          <w:lang w:val="cs-CZ"/>
        </w:rPr>
        <w:t xml:space="preserve">. Další informace naleznete na: https://www.vgpparks.eu/cs/  </w:t>
      </w:r>
    </w:p>
    <w:p w14:paraId="54B55ECC" w14:textId="77777777" w:rsidR="00AB446D" w:rsidRPr="00AB446D" w:rsidRDefault="00AB446D" w:rsidP="00AB446D">
      <w:pPr>
        <w:rPr>
          <w:color w:val="000000"/>
          <w:sz w:val="20"/>
          <w:szCs w:val="20"/>
          <w:lang w:val="cs-CZ"/>
        </w:rPr>
      </w:pPr>
    </w:p>
    <w:p w14:paraId="4D02982B" w14:textId="77777777" w:rsidR="00AB446D" w:rsidRPr="00AB446D" w:rsidRDefault="00AB446D" w:rsidP="00AB446D">
      <w:pPr>
        <w:pStyle w:val="Body1"/>
        <w:spacing w:after="0"/>
        <w:ind w:left="0"/>
        <w:rPr>
          <w:szCs w:val="20"/>
          <w:lang w:val="cs-CZ"/>
        </w:rPr>
      </w:pPr>
      <w:r w:rsidRPr="00AB446D">
        <w:rPr>
          <w:rStyle w:val="Internetovodkaz"/>
          <w:rFonts w:eastAsiaTheme="minorHAnsi"/>
          <w:b/>
          <w:bCs/>
          <w:kern w:val="0"/>
          <w:szCs w:val="20"/>
          <w:lang w:val="cs-CZ"/>
        </w:rPr>
        <w:br/>
      </w:r>
      <w:r w:rsidRPr="00AB446D">
        <w:rPr>
          <w:rStyle w:val="Internetovodkaz"/>
          <w:rFonts w:eastAsiaTheme="minorHAnsi"/>
          <w:b/>
          <w:bCs/>
          <w:kern w:val="0"/>
          <w:szCs w:val="20"/>
          <w:lang w:val="cs-CZ"/>
        </w:rPr>
        <w:br/>
      </w:r>
      <w:r w:rsidRPr="00AB446D">
        <w:rPr>
          <w:b/>
          <w:bCs/>
          <w:szCs w:val="20"/>
          <w:u w:val="single"/>
          <w:lang w:val="cs-CZ" w:eastAsia="cs-CZ"/>
        </w:rPr>
        <w:t>Kontaktní údaje pro média:</w:t>
      </w:r>
      <w:r w:rsidRPr="00AB446D">
        <w:rPr>
          <w:szCs w:val="20"/>
          <w:lang w:val="cs-CZ" w:eastAsia="cs-CZ"/>
        </w:rPr>
        <w:t> </w:t>
      </w:r>
    </w:p>
    <w:p w14:paraId="77947E36" w14:textId="77777777" w:rsidR="00AB446D" w:rsidRPr="00AB446D" w:rsidRDefault="00AB446D" w:rsidP="00AB446D">
      <w:pPr>
        <w:jc w:val="both"/>
        <w:textAlignment w:val="baseline"/>
        <w:rPr>
          <w:rFonts w:ascii="Segoe UI" w:hAnsi="Segoe UI" w:cs="Segoe UI"/>
          <w:sz w:val="20"/>
          <w:szCs w:val="20"/>
          <w:lang w:val="cs-CZ" w:eastAsia="cs-CZ"/>
        </w:rPr>
      </w:pPr>
      <w:r w:rsidRPr="00AB446D">
        <w:rPr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AB446D" w:rsidRPr="00AB446D" w14:paraId="6B3D3834" w14:textId="77777777" w:rsidTr="00C7088C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16BAE098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 w:eastAsia="cs-CZ"/>
              </w:rPr>
            </w:pPr>
            <w:r w:rsidRPr="00AB446D">
              <w:rPr>
                <w:sz w:val="20"/>
                <w:szCs w:val="20"/>
                <w:lang w:val="cs-CZ" w:eastAsia="cs-CZ"/>
              </w:rPr>
              <w:t>Denisa Kolaříková </w:t>
            </w:r>
          </w:p>
          <w:p w14:paraId="1A46EE2E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 w:eastAsia="cs-CZ"/>
              </w:rPr>
            </w:pPr>
            <w:proofErr w:type="spellStart"/>
            <w:r w:rsidRPr="00AB446D">
              <w:rPr>
                <w:sz w:val="20"/>
                <w:szCs w:val="20"/>
                <w:lang w:val="cs-CZ" w:eastAsia="cs-CZ"/>
              </w:rPr>
              <w:t>Account</w:t>
            </w:r>
            <w:proofErr w:type="spellEnd"/>
            <w:r w:rsidRPr="00AB446D">
              <w:rPr>
                <w:sz w:val="20"/>
                <w:szCs w:val="20"/>
                <w:lang w:val="cs-CZ" w:eastAsia="cs-CZ"/>
              </w:rPr>
              <w:t xml:space="preserve"> Manager, </w:t>
            </w:r>
            <w:proofErr w:type="spellStart"/>
            <w:r w:rsidRPr="00AB446D">
              <w:rPr>
                <w:sz w:val="20"/>
                <w:szCs w:val="20"/>
                <w:lang w:val="cs-CZ" w:eastAsia="cs-CZ"/>
              </w:rPr>
              <w:t>Crest</w:t>
            </w:r>
            <w:proofErr w:type="spellEnd"/>
            <w:r w:rsidRPr="00AB446D">
              <w:rPr>
                <w:sz w:val="20"/>
                <w:szCs w:val="20"/>
                <w:lang w:val="cs-CZ" w:eastAsia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E2C0EB6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/>
              </w:rPr>
            </w:pPr>
            <w:r w:rsidRPr="00AB446D">
              <w:rPr>
                <w:sz w:val="20"/>
                <w:szCs w:val="20"/>
                <w:lang w:val="cs-CZ" w:eastAsia="cs-CZ"/>
              </w:rPr>
              <w:t>Tel: +420 731 613 606 </w:t>
            </w:r>
            <w:r w:rsidRPr="00AB446D">
              <w:rPr>
                <w:sz w:val="20"/>
                <w:szCs w:val="20"/>
                <w:lang w:val="cs-CZ" w:eastAsia="cs-CZ"/>
              </w:rPr>
              <w:br/>
              <w:t xml:space="preserve">e-mail: </w:t>
            </w:r>
            <w:hyperlink r:id="rId10">
              <w:r w:rsidRPr="00AB446D">
                <w:rPr>
                  <w:rStyle w:val="Internetovodkaz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AB446D" w:rsidRPr="00AB446D" w14:paraId="45FC2BCA" w14:textId="77777777" w:rsidTr="00C7088C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6A205CC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 w:eastAsia="cs-CZ"/>
              </w:rPr>
            </w:pPr>
            <w:r w:rsidRPr="00AB446D">
              <w:rPr>
                <w:sz w:val="20"/>
                <w:szCs w:val="20"/>
                <w:lang w:val="cs-CZ" w:eastAsia="cs-CZ"/>
              </w:rPr>
              <w:t>Tereza Štosová </w:t>
            </w:r>
          </w:p>
          <w:p w14:paraId="30C533F5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 w:eastAsia="cs-CZ"/>
              </w:rPr>
            </w:pPr>
            <w:proofErr w:type="spellStart"/>
            <w:r w:rsidRPr="00AB446D">
              <w:rPr>
                <w:sz w:val="20"/>
                <w:szCs w:val="20"/>
                <w:lang w:val="cs-CZ" w:eastAsia="cs-CZ"/>
              </w:rPr>
              <w:t>Account</w:t>
            </w:r>
            <w:proofErr w:type="spellEnd"/>
            <w:r w:rsidRPr="00AB446D">
              <w:rPr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AB446D">
              <w:rPr>
                <w:sz w:val="20"/>
                <w:szCs w:val="20"/>
                <w:lang w:val="cs-CZ" w:eastAsia="cs-CZ"/>
              </w:rPr>
              <w:t>Executive</w:t>
            </w:r>
            <w:proofErr w:type="spellEnd"/>
            <w:r w:rsidRPr="00AB446D">
              <w:rPr>
                <w:sz w:val="20"/>
                <w:szCs w:val="20"/>
                <w:lang w:val="cs-CZ" w:eastAsia="cs-CZ"/>
              </w:rPr>
              <w:t>, </w:t>
            </w:r>
            <w:proofErr w:type="spellStart"/>
            <w:r w:rsidRPr="00AB446D">
              <w:rPr>
                <w:sz w:val="20"/>
                <w:szCs w:val="20"/>
                <w:lang w:val="cs-CZ" w:eastAsia="cs-CZ"/>
              </w:rPr>
              <w:t>Crest</w:t>
            </w:r>
            <w:proofErr w:type="spellEnd"/>
            <w:r w:rsidRPr="00AB446D">
              <w:rPr>
                <w:sz w:val="20"/>
                <w:szCs w:val="20"/>
                <w:lang w:val="cs-CZ" w:eastAsia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18671779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/>
              </w:rPr>
            </w:pPr>
            <w:r w:rsidRPr="00AB446D">
              <w:rPr>
                <w:sz w:val="20"/>
                <w:szCs w:val="20"/>
                <w:lang w:val="cs-CZ" w:eastAsia="cs-CZ"/>
              </w:rPr>
              <w:t>Tel: +420 778 495 239 </w:t>
            </w:r>
            <w:r w:rsidRPr="00AB446D">
              <w:rPr>
                <w:sz w:val="20"/>
                <w:szCs w:val="20"/>
                <w:lang w:val="cs-CZ" w:eastAsia="cs-CZ"/>
              </w:rPr>
              <w:br/>
              <w:t>e-mail: </w:t>
            </w:r>
            <w:hyperlink r:id="rId11">
              <w:r w:rsidRPr="00AB446D">
                <w:rPr>
                  <w:rStyle w:val="Internetovodkaz"/>
                  <w:sz w:val="20"/>
                  <w:szCs w:val="20"/>
                  <w:lang w:val="cs-CZ" w:eastAsia="cs-CZ"/>
                </w:rPr>
                <w:t>tereza.stosova@crestcom.cz</w:t>
              </w:r>
            </w:hyperlink>
          </w:p>
        </w:tc>
      </w:tr>
      <w:tr w:rsidR="00AB446D" w:rsidRPr="00AB446D" w14:paraId="4D233950" w14:textId="77777777" w:rsidTr="00C7088C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628AC03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 w:eastAsia="cs-CZ"/>
              </w:rPr>
            </w:pPr>
            <w:r w:rsidRPr="00AB446D">
              <w:rPr>
                <w:sz w:val="20"/>
                <w:szCs w:val="20"/>
                <w:lang w:val="cs-CZ" w:eastAsia="cs-CZ"/>
              </w:rPr>
              <w:t>Petra </w:t>
            </w:r>
            <w:proofErr w:type="spellStart"/>
            <w:r w:rsidRPr="00AB446D">
              <w:rPr>
                <w:sz w:val="20"/>
                <w:szCs w:val="20"/>
                <w:lang w:val="cs-CZ" w:eastAsia="cs-CZ"/>
              </w:rPr>
              <w:t>Vanclová</w:t>
            </w:r>
            <w:proofErr w:type="spellEnd"/>
            <w:r w:rsidRPr="00AB446D">
              <w:rPr>
                <w:sz w:val="20"/>
                <w:szCs w:val="20"/>
                <w:lang w:val="cs-CZ" w:eastAsia="cs-CZ"/>
              </w:rPr>
              <w:t> </w:t>
            </w:r>
          </w:p>
          <w:p w14:paraId="115BE1CF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 w:eastAsia="cs-CZ"/>
              </w:rPr>
            </w:pPr>
            <w:r w:rsidRPr="00AB446D">
              <w:rPr>
                <w:sz w:val="20"/>
                <w:szCs w:val="20"/>
                <w:lang w:val="cs-CZ" w:eastAsia="cs-CZ"/>
              </w:rPr>
              <w:t xml:space="preserve">Marketing </w:t>
            </w:r>
            <w:proofErr w:type="spellStart"/>
            <w:r w:rsidRPr="00AB446D">
              <w:rPr>
                <w:sz w:val="20"/>
                <w:szCs w:val="20"/>
                <w:lang w:val="cs-CZ" w:eastAsia="cs-CZ"/>
              </w:rPr>
              <w:t>Officer</w:t>
            </w:r>
            <w:proofErr w:type="spellEnd"/>
            <w:r w:rsidRPr="00AB446D">
              <w:rPr>
                <w:sz w:val="20"/>
                <w:szCs w:val="20"/>
                <w:lang w:val="cs-CZ" w:eastAsia="cs-CZ"/>
              </w:rPr>
              <w:t>, VGP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0CF27946" w14:textId="77777777" w:rsidR="00AB446D" w:rsidRPr="00AB446D" w:rsidRDefault="00AB446D" w:rsidP="00C7088C">
            <w:pPr>
              <w:textAlignment w:val="baseline"/>
              <w:rPr>
                <w:sz w:val="20"/>
                <w:szCs w:val="20"/>
                <w:lang w:val="cs-CZ"/>
              </w:rPr>
            </w:pPr>
            <w:r w:rsidRPr="00AB446D">
              <w:rPr>
                <w:sz w:val="20"/>
                <w:szCs w:val="20"/>
                <w:lang w:val="cs-CZ" w:eastAsia="cs-CZ"/>
              </w:rPr>
              <w:t>Tel: +420 602 262 107 </w:t>
            </w:r>
            <w:r w:rsidRPr="00AB446D">
              <w:rPr>
                <w:sz w:val="20"/>
                <w:szCs w:val="20"/>
                <w:lang w:val="cs-CZ" w:eastAsia="cs-CZ"/>
              </w:rPr>
              <w:br/>
              <w:t>e-mail: </w:t>
            </w:r>
            <w:hyperlink r:id="rId12" w:tgtFrame="_blank">
              <w:r w:rsidRPr="00AB446D">
                <w:rPr>
                  <w:rStyle w:val="ListLabel49"/>
                  <w:rFonts w:eastAsiaTheme="minorHAnsi"/>
                  <w:sz w:val="20"/>
                  <w:szCs w:val="20"/>
                  <w:lang w:val="cs-CZ"/>
                </w:rPr>
                <w:t>petra.vanclova@vgpparks.eu</w:t>
              </w:r>
            </w:hyperlink>
            <w:r w:rsidRPr="00AB446D">
              <w:rPr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B5A8575" w14:textId="77777777" w:rsidR="00AB446D" w:rsidRPr="00AB446D" w:rsidRDefault="00AB446D" w:rsidP="00AB446D">
      <w:pPr>
        <w:jc w:val="both"/>
        <w:textAlignment w:val="baseline"/>
        <w:rPr>
          <w:rFonts w:ascii="Segoe UI" w:hAnsi="Segoe UI" w:cs="Segoe UI"/>
          <w:sz w:val="20"/>
          <w:szCs w:val="20"/>
          <w:lang w:val="cs-CZ" w:eastAsia="cs-CZ"/>
        </w:rPr>
      </w:pPr>
      <w:r w:rsidRPr="00AB446D">
        <w:rPr>
          <w:sz w:val="20"/>
          <w:szCs w:val="20"/>
          <w:lang w:val="cs-CZ" w:eastAsia="cs-CZ"/>
        </w:rPr>
        <w:t> </w:t>
      </w:r>
    </w:p>
    <w:p w14:paraId="3ABEB9B6" w14:textId="77777777" w:rsidR="00AB446D" w:rsidRPr="00AB446D" w:rsidRDefault="00AB446D" w:rsidP="00AB446D">
      <w:pPr>
        <w:jc w:val="both"/>
        <w:textAlignment w:val="baseline"/>
        <w:rPr>
          <w:b/>
          <w:bCs/>
          <w:sz w:val="20"/>
          <w:szCs w:val="20"/>
          <w:u w:val="single"/>
          <w:lang w:val="cs-CZ"/>
        </w:rPr>
      </w:pPr>
      <w:r w:rsidRPr="00AB446D">
        <w:rPr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44BD46B4" w14:textId="77777777" w:rsidR="00AB446D" w:rsidRPr="00330085" w:rsidRDefault="00AB446D" w:rsidP="0083553D">
      <w:pPr>
        <w:jc w:val="both"/>
        <w:rPr>
          <w:iCs/>
          <w:color w:val="000000" w:themeColor="text1"/>
          <w:sz w:val="22"/>
          <w:szCs w:val="22"/>
          <w:shd w:val="clear" w:color="auto" w:fill="FFFFFF"/>
          <w:lang w:val="cs-CZ"/>
        </w:rPr>
      </w:pPr>
    </w:p>
    <w:sectPr w:rsidR="00AB446D" w:rsidRPr="00330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2CCF" w14:textId="77777777" w:rsidR="00CD15F6" w:rsidRDefault="00CD15F6" w:rsidP="0083553D">
      <w:r>
        <w:separator/>
      </w:r>
    </w:p>
  </w:endnote>
  <w:endnote w:type="continuationSeparator" w:id="0">
    <w:p w14:paraId="03EF3996" w14:textId="77777777" w:rsidR="00CD15F6" w:rsidRDefault="00CD15F6" w:rsidP="0083553D">
      <w:r>
        <w:continuationSeparator/>
      </w:r>
    </w:p>
  </w:endnote>
  <w:endnote w:type="continuationNotice" w:id="1">
    <w:p w14:paraId="6A3CB984" w14:textId="77777777" w:rsidR="00CD15F6" w:rsidRDefault="00CD1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DBB3" w14:textId="77777777" w:rsidR="00CD15F6" w:rsidRDefault="00CD15F6" w:rsidP="0083553D">
      <w:r>
        <w:separator/>
      </w:r>
    </w:p>
  </w:footnote>
  <w:footnote w:type="continuationSeparator" w:id="0">
    <w:p w14:paraId="0FE003C6" w14:textId="77777777" w:rsidR="00CD15F6" w:rsidRDefault="00CD15F6" w:rsidP="0083553D">
      <w:r>
        <w:continuationSeparator/>
      </w:r>
    </w:p>
  </w:footnote>
  <w:footnote w:type="continuationNotice" w:id="1">
    <w:p w14:paraId="57FF591C" w14:textId="77777777" w:rsidR="00CD15F6" w:rsidRDefault="00CD15F6"/>
  </w:footnote>
  <w:footnote w:id="2">
    <w:p w14:paraId="59AA809B" w14:textId="77777777" w:rsidR="00964190" w:rsidRPr="007D5D9E" w:rsidRDefault="00964190" w:rsidP="00964190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  <w:r w:rsidRPr="007D5D9E">
        <w:rPr>
          <w:rStyle w:val="Znakapoznpodarou"/>
          <w:rFonts w:ascii="Times New Roman" w:hAnsi="Times New Roman" w:cs="Times New Roman"/>
          <w:sz w:val="16"/>
          <w:szCs w:val="16"/>
          <w:lang w:val="cs-CZ"/>
        </w:rPr>
        <w:footnoteRef/>
      </w:r>
      <w:r w:rsidRPr="007D5D9E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="007D5D9E" w:rsidRPr="007D5D9E">
        <w:rPr>
          <w:rFonts w:ascii="Times New Roman" w:hAnsi="Times New Roman" w:cs="Times New Roman"/>
          <w:sz w:val="16"/>
          <w:szCs w:val="16"/>
          <w:lang w:val="cs-CZ"/>
        </w:rPr>
        <w:t>P</w:t>
      </w:r>
      <w:r w:rsidR="002436B6" w:rsidRPr="007D5D9E">
        <w:rPr>
          <w:rFonts w:ascii="Times New Roman" w:hAnsi="Times New Roman" w:cs="Times New Roman"/>
          <w:sz w:val="16"/>
          <w:szCs w:val="16"/>
          <w:lang w:val="cs-CZ"/>
        </w:rPr>
        <w:t xml:space="preserve">ro </w:t>
      </w:r>
      <w:r w:rsidR="00D122FF" w:rsidRPr="007D5D9E">
        <w:rPr>
          <w:rFonts w:ascii="Times New Roman" w:hAnsi="Times New Roman" w:cs="Times New Roman"/>
          <w:sz w:val="16"/>
          <w:szCs w:val="16"/>
          <w:lang w:val="cs-CZ"/>
        </w:rPr>
        <w:t>100 % společn</w:t>
      </w:r>
      <w:r w:rsidR="002436B6" w:rsidRPr="007D5D9E">
        <w:rPr>
          <w:rFonts w:ascii="Times New Roman" w:hAnsi="Times New Roman" w:cs="Times New Roman"/>
          <w:sz w:val="16"/>
          <w:szCs w:val="16"/>
          <w:lang w:val="cs-CZ"/>
        </w:rPr>
        <w:t>ých</w:t>
      </w:r>
      <w:r w:rsidR="00D122FF" w:rsidRPr="007D5D9E">
        <w:rPr>
          <w:rFonts w:ascii="Times New Roman" w:hAnsi="Times New Roman" w:cs="Times New Roman"/>
          <w:sz w:val="16"/>
          <w:szCs w:val="16"/>
          <w:lang w:val="cs-CZ"/>
        </w:rPr>
        <w:t xml:space="preserve"> podnik</w:t>
      </w:r>
      <w:r w:rsidR="002436B6" w:rsidRPr="007D5D9E">
        <w:rPr>
          <w:rFonts w:ascii="Times New Roman" w:hAnsi="Times New Roman" w:cs="Times New Roman"/>
          <w:sz w:val="16"/>
          <w:szCs w:val="16"/>
          <w:lang w:val="cs-CZ"/>
        </w:rPr>
        <w:t>ů</w:t>
      </w:r>
    </w:p>
  </w:footnote>
  <w:footnote w:id="3">
    <w:p w14:paraId="7D14A527" w14:textId="77777777" w:rsidR="0083553D" w:rsidRPr="007D5D9E" w:rsidRDefault="0083553D" w:rsidP="0083553D">
      <w:pPr>
        <w:pStyle w:val="Textpoznpodarou"/>
        <w:rPr>
          <w:rStyle w:val="Znakapoznpodarou"/>
          <w:rFonts w:ascii="Times New Roman" w:hAnsi="Times New Roman" w:cs="Times New Roman"/>
          <w:sz w:val="16"/>
          <w:szCs w:val="16"/>
          <w:lang w:val="cs-CZ"/>
        </w:rPr>
      </w:pPr>
      <w:r w:rsidRPr="007D5D9E">
        <w:rPr>
          <w:rStyle w:val="Znakapoznpodarou"/>
          <w:rFonts w:ascii="Times New Roman" w:hAnsi="Times New Roman" w:cs="Times New Roman"/>
          <w:sz w:val="16"/>
          <w:szCs w:val="16"/>
          <w:lang w:val="cs-CZ"/>
        </w:rPr>
        <w:footnoteRef/>
      </w:r>
      <w:r w:rsidRPr="007D5D9E">
        <w:rPr>
          <w:rStyle w:val="Znakapoznpodarou"/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="007D5D9E" w:rsidRPr="007D5D9E">
        <w:rPr>
          <w:rFonts w:ascii="Times New Roman" w:hAnsi="Times New Roman" w:cs="Times New Roman"/>
          <w:sz w:val="16"/>
          <w:szCs w:val="16"/>
          <w:lang w:val="cs-CZ"/>
        </w:rPr>
        <w:t>Vypočteno dle smluvního pronájmu a odhadovaného tržního pronájmu prázdných prostor</w:t>
      </w:r>
    </w:p>
  </w:footnote>
  <w:footnote w:id="4">
    <w:p w14:paraId="1C10CA1F" w14:textId="77777777" w:rsidR="00654FD4" w:rsidRPr="007D5D9E" w:rsidRDefault="00654FD4" w:rsidP="00654FD4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  <w:r w:rsidRPr="007D5D9E">
        <w:rPr>
          <w:rStyle w:val="Znakapoznpodarou"/>
          <w:rFonts w:ascii="Times New Roman" w:hAnsi="Times New Roman" w:cs="Times New Roman"/>
          <w:sz w:val="16"/>
          <w:szCs w:val="16"/>
          <w:lang w:val="cs-CZ"/>
        </w:rPr>
        <w:footnoteRef/>
      </w:r>
      <w:r w:rsidRPr="007D5D9E">
        <w:rPr>
          <w:rFonts w:ascii="Times New Roman" w:hAnsi="Times New Roman" w:cs="Times New Roman"/>
          <w:sz w:val="16"/>
          <w:szCs w:val="16"/>
          <w:lang w:val="cs-CZ"/>
        </w:rPr>
        <w:t xml:space="preserve"> 394 milionů EUR včetně 100 % společných podniků </w:t>
      </w:r>
      <w:r w:rsidR="00177FD4">
        <w:rPr>
          <w:rFonts w:ascii="Times New Roman" w:hAnsi="Times New Roman" w:cs="Times New Roman"/>
          <w:sz w:val="16"/>
          <w:szCs w:val="16"/>
          <w:lang w:val="cs-CZ"/>
        </w:rPr>
        <w:t xml:space="preserve">s vyloučením </w:t>
      </w:r>
      <w:r w:rsidRPr="007D5D9E">
        <w:rPr>
          <w:rFonts w:ascii="Times New Roman" w:hAnsi="Times New Roman" w:cs="Times New Roman"/>
          <w:sz w:val="16"/>
          <w:szCs w:val="16"/>
          <w:lang w:val="cs-CZ"/>
        </w:rPr>
        <w:t>realizovaných zisků 92.3 milionu EUR</w:t>
      </w:r>
    </w:p>
  </w:footnote>
  <w:footnote w:id="5">
    <w:p w14:paraId="4B26D1F7" w14:textId="77777777" w:rsidR="00654FD4" w:rsidRDefault="00654FD4" w:rsidP="00654FD4">
      <w:pPr>
        <w:pStyle w:val="Textpoznpodarou"/>
        <w:rPr>
          <w:rFonts w:ascii="Times New Roman" w:hAnsi="Times New Roman" w:cs="Times New Roman"/>
          <w:sz w:val="16"/>
          <w:szCs w:val="16"/>
          <w:lang w:val="en-GB"/>
        </w:rPr>
      </w:pPr>
      <w:r w:rsidRPr="007D5D9E">
        <w:rPr>
          <w:rStyle w:val="Znakapoznpodarou"/>
          <w:rFonts w:ascii="Times New Roman" w:hAnsi="Times New Roman" w:cs="Times New Roman"/>
          <w:sz w:val="16"/>
          <w:szCs w:val="16"/>
          <w:lang w:val="cs-CZ"/>
        </w:rPr>
        <w:footnoteRef/>
      </w:r>
      <w:r w:rsidRPr="007D5D9E">
        <w:rPr>
          <w:rStyle w:val="Znakapoznpodarou"/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Pr="007D5D9E">
        <w:rPr>
          <w:rStyle w:val="Znakapoznpodarou"/>
          <w:rFonts w:ascii="Times New Roman" w:hAnsi="Times New Roman" w:cs="Times New Roman"/>
          <w:sz w:val="16"/>
          <w:szCs w:val="16"/>
          <w:vertAlign w:val="baseline"/>
          <w:lang w:val="cs-CZ"/>
        </w:rPr>
        <w:t>V</w:t>
      </w:r>
      <w:r w:rsidRPr="007D5D9E">
        <w:rPr>
          <w:rFonts w:ascii="Times New Roman" w:hAnsi="Times New Roman" w:cs="Times New Roman"/>
          <w:sz w:val="16"/>
          <w:szCs w:val="16"/>
          <w:lang w:val="cs-CZ"/>
        </w:rPr>
        <w:t>četně 100 % společných podniků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343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3D"/>
    <w:rsid w:val="00017B0A"/>
    <w:rsid w:val="000204F9"/>
    <w:rsid w:val="000539EB"/>
    <w:rsid w:val="00056622"/>
    <w:rsid w:val="00085A94"/>
    <w:rsid w:val="000B5E02"/>
    <w:rsid w:val="00177FD4"/>
    <w:rsid w:val="001B6B81"/>
    <w:rsid w:val="001F12CB"/>
    <w:rsid w:val="002118ED"/>
    <w:rsid w:val="002436B6"/>
    <w:rsid w:val="00273926"/>
    <w:rsid w:val="00330085"/>
    <w:rsid w:val="003E6B54"/>
    <w:rsid w:val="003F0F19"/>
    <w:rsid w:val="004141C8"/>
    <w:rsid w:val="00491B47"/>
    <w:rsid w:val="005F5F96"/>
    <w:rsid w:val="0065476C"/>
    <w:rsid w:val="00654FD4"/>
    <w:rsid w:val="00714F59"/>
    <w:rsid w:val="00772BBB"/>
    <w:rsid w:val="007D5D9E"/>
    <w:rsid w:val="0083553D"/>
    <w:rsid w:val="00846483"/>
    <w:rsid w:val="00872620"/>
    <w:rsid w:val="0089035F"/>
    <w:rsid w:val="00964190"/>
    <w:rsid w:val="00A64607"/>
    <w:rsid w:val="00AB446D"/>
    <w:rsid w:val="00AC2108"/>
    <w:rsid w:val="00BB6C38"/>
    <w:rsid w:val="00CD15F6"/>
    <w:rsid w:val="00D122FF"/>
    <w:rsid w:val="00D86B15"/>
    <w:rsid w:val="00EC0609"/>
    <w:rsid w:val="00F22933"/>
    <w:rsid w:val="00F3048F"/>
    <w:rsid w:val="00F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4B4F"/>
  <w15:chartTrackingRefBased/>
  <w15:docId w15:val="{5658DC50-657D-42DC-B4B3-8495BDE0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qFormat/>
    <w:rsid w:val="0083553D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3553D"/>
    <w:rPr>
      <w:sz w:val="20"/>
      <w:szCs w:val="20"/>
      <w:lang w:val="nl-NL" w:eastAsia="nl-NL"/>
    </w:rPr>
  </w:style>
  <w:style w:type="paragraph" w:customStyle="1" w:styleId="Standaardtekst">
    <w:name w:val="Standaardtekst"/>
    <w:basedOn w:val="Normln"/>
    <w:rsid w:val="0083553D"/>
    <w:pPr>
      <w:snapToGrid w:val="0"/>
    </w:pPr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3553D"/>
    <w:rPr>
      <w:vertAlign w:val="superscript"/>
    </w:rPr>
  </w:style>
  <w:style w:type="character" w:customStyle="1" w:styleId="Internetovodkaz">
    <w:name w:val="Internetový odkaz"/>
    <w:basedOn w:val="Standardnpsmoodstavce"/>
    <w:rsid w:val="00AB446D"/>
    <w:rPr>
      <w:color w:val="AF005F"/>
      <w:u w:val="none"/>
    </w:rPr>
  </w:style>
  <w:style w:type="character" w:customStyle="1" w:styleId="BodyChar">
    <w:name w:val="Body Char"/>
    <w:link w:val="Body1"/>
    <w:qFormat/>
    <w:rsid w:val="00AB446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customStyle="1" w:styleId="ListLabel49">
    <w:name w:val="ListLabel 49"/>
    <w:qFormat/>
    <w:rsid w:val="00AB446D"/>
    <w:rPr>
      <w:rFonts w:ascii="Times New Roman" w:eastAsia="Times New Roman" w:hAnsi="Times New Roman" w:cs="Times New Roman"/>
      <w:color w:val="AF005F"/>
      <w:lang w:val="de-DE" w:eastAsia="cs-CZ"/>
    </w:rPr>
  </w:style>
  <w:style w:type="paragraph" w:customStyle="1" w:styleId="Body1">
    <w:name w:val="Body 1"/>
    <w:basedOn w:val="Normln"/>
    <w:link w:val="BodyChar"/>
    <w:qFormat/>
    <w:rsid w:val="00AB446D"/>
    <w:pPr>
      <w:spacing w:after="140" w:line="290" w:lineRule="auto"/>
      <w:ind w:left="425"/>
      <w:jc w:val="both"/>
    </w:pPr>
    <w:rPr>
      <w:rFonts w:ascii="Arial" w:hAnsi="Arial"/>
      <w:kern w:val="2"/>
      <w:sz w:val="20"/>
      <w:lang w:val="nl-BE" w:eastAsia="en-US"/>
    </w:rPr>
  </w:style>
  <w:style w:type="paragraph" w:customStyle="1" w:styleId="Prosttext1">
    <w:name w:val="Prostý text1"/>
    <w:basedOn w:val="Normln"/>
    <w:qFormat/>
    <w:rsid w:val="00AB446D"/>
    <w:rPr>
      <w:rFonts w:ascii="Arial" w:eastAsia="Calibri" w:hAnsi="Arial"/>
      <w:kern w:val="2"/>
      <w:sz w:val="20"/>
      <w:szCs w:val="21"/>
      <w:u w:color="000000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AC21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1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3F0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0F19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Zpat">
    <w:name w:val="footer"/>
    <w:basedOn w:val="Normln"/>
    <w:link w:val="ZpatChar"/>
    <w:uiPriority w:val="99"/>
    <w:semiHidden/>
    <w:unhideWhenUsed/>
    <w:rsid w:val="003F0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0F19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etra.vanclova@vgpparks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eza.stosova@crestcom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gpparks.eu/cs/newsroom/investor-news/vgp-announces-fy-2022-financial-results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E44B9-A3BC-4C9E-AC14-832360FF3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E301B-78EF-461B-9335-0D4008DA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Clients</dc:creator>
  <cp:keywords/>
  <dc:description/>
  <cp:lastModifiedBy>Tereza Štosová</cp:lastModifiedBy>
  <cp:revision>25</cp:revision>
  <dcterms:created xsi:type="dcterms:W3CDTF">2023-02-24T09:38:00Z</dcterms:created>
  <dcterms:modified xsi:type="dcterms:W3CDTF">2023-02-28T08:56:00Z</dcterms:modified>
</cp:coreProperties>
</file>